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E3" w:rsidRDefault="00A36DE3" w:rsidP="00DA7F76">
      <w:pPr>
        <w:adjustRightInd w:val="0"/>
        <w:snapToGrid w:val="0"/>
        <w:jc w:val="center"/>
        <w:rPr>
          <w:rFonts w:ascii="黑体" w:eastAsia="黑体" w:hAnsi="黑体" w:cs="Times New Roman"/>
          <w:sz w:val="32"/>
          <w:szCs w:val="32"/>
        </w:rPr>
      </w:pPr>
    </w:p>
    <w:p w:rsidR="00DA7F76" w:rsidRDefault="00DA7F76" w:rsidP="00634651">
      <w:pPr>
        <w:adjustRightInd w:val="0"/>
        <w:snapToGrid w:val="0"/>
        <w:jc w:val="center"/>
        <w:rPr>
          <w:rFonts w:ascii="方正小标宋简体" w:eastAsia="方正小标宋简体" w:hAnsi="黑体" w:cs="Times New Roman"/>
          <w:sz w:val="36"/>
          <w:szCs w:val="32"/>
        </w:rPr>
      </w:pPr>
      <w:r>
        <w:rPr>
          <w:rFonts w:ascii="方正小标宋简体" w:eastAsia="方正小标宋简体" w:hAnsi="黑体" w:cs="Times New Roman" w:hint="eastAsia"/>
          <w:sz w:val="36"/>
          <w:szCs w:val="32"/>
        </w:rPr>
        <w:t>《</w:t>
      </w:r>
      <w:r w:rsidRPr="009E2CA3">
        <w:rPr>
          <w:rFonts w:ascii="方正小标宋简体" w:eastAsia="方正小标宋简体" w:hAnsi="黑体" w:cs="Times New Roman" w:hint="eastAsia"/>
          <w:sz w:val="36"/>
          <w:szCs w:val="32"/>
        </w:rPr>
        <w:t>疫苗临床试验抗体分析方法研究</w:t>
      </w:r>
      <w:r>
        <w:rPr>
          <w:rFonts w:ascii="方正小标宋简体" w:eastAsia="方正小标宋简体" w:hAnsi="黑体" w:cs="Times New Roman" w:hint="eastAsia"/>
          <w:sz w:val="36"/>
          <w:szCs w:val="32"/>
        </w:rPr>
        <w:t>技术</w:t>
      </w:r>
      <w:r w:rsidRPr="009E2CA3">
        <w:rPr>
          <w:rFonts w:ascii="方正小标宋简体" w:eastAsia="方正小标宋简体" w:hAnsi="黑体" w:cs="Times New Roman" w:hint="eastAsia"/>
          <w:sz w:val="36"/>
          <w:szCs w:val="32"/>
        </w:rPr>
        <w:t>指导原则</w:t>
      </w:r>
      <w:r>
        <w:rPr>
          <w:rFonts w:ascii="方正小标宋简体" w:eastAsia="方正小标宋简体" w:hAnsi="黑体" w:cs="Times New Roman" w:hint="eastAsia"/>
          <w:sz w:val="36"/>
          <w:szCs w:val="32"/>
        </w:rPr>
        <w:t>》</w:t>
      </w:r>
      <w:r w:rsidR="00634651" w:rsidRPr="00634651">
        <w:rPr>
          <w:rFonts w:ascii="方正小标宋简体" w:eastAsia="方正小标宋简体" w:hAnsi="黑体" w:cs="Times New Roman" w:hint="eastAsia"/>
          <w:sz w:val="36"/>
          <w:szCs w:val="32"/>
        </w:rPr>
        <w:t>（征求意见稿）</w:t>
      </w:r>
      <w:r>
        <w:rPr>
          <w:rFonts w:ascii="方正小标宋简体" w:eastAsia="方正小标宋简体" w:hAnsi="黑体" w:cs="Times New Roman" w:hint="eastAsia"/>
          <w:sz w:val="36"/>
          <w:szCs w:val="32"/>
        </w:rPr>
        <w:t>起草说明</w:t>
      </w:r>
      <w:bookmarkStart w:id="0" w:name="_GoBack"/>
      <w:bookmarkEnd w:id="0"/>
    </w:p>
    <w:p w:rsidR="00DA7F76" w:rsidRPr="009E2CA3" w:rsidRDefault="00DA7F76" w:rsidP="00DA7F76">
      <w:pPr>
        <w:adjustRightInd w:val="0"/>
        <w:snapToGrid w:val="0"/>
        <w:jc w:val="center"/>
        <w:rPr>
          <w:rFonts w:ascii="方正小标宋简体" w:eastAsia="方正小标宋简体" w:hAnsi="黑体" w:cs="Times New Roman"/>
          <w:sz w:val="36"/>
          <w:szCs w:val="32"/>
        </w:rPr>
      </w:pPr>
    </w:p>
    <w:p w:rsidR="00DA7F76" w:rsidRPr="00FE47A3" w:rsidRDefault="00DA7F76" w:rsidP="00DA7F76">
      <w:pPr>
        <w:adjustRightInd w:val="0"/>
        <w:snapToGrid w:val="0"/>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疫苗</w:t>
      </w:r>
      <w:r>
        <w:rPr>
          <w:rFonts w:ascii="Times New Roman" w:eastAsia="仿宋_GB2312" w:hAnsi="Times New Roman" w:cs="Times New Roman"/>
          <w:color w:val="000000"/>
          <w:sz w:val="32"/>
          <w:szCs w:val="32"/>
        </w:rPr>
        <w:t>免疫原性</w:t>
      </w:r>
      <w:r>
        <w:rPr>
          <w:rFonts w:ascii="Times New Roman" w:eastAsia="仿宋_GB2312" w:hAnsi="Times New Roman" w:cs="Times New Roman" w:hint="eastAsia"/>
          <w:color w:val="000000"/>
          <w:sz w:val="32"/>
          <w:szCs w:val="32"/>
        </w:rPr>
        <w:t>评价是</w:t>
      </w:r>
      <w:r>
        <w:rPr>
          <w:rFonts w:ascii="Times New Roman" w:eastAsia="仿宋_GB2312" w:hAnsi="Times New Roman" w:cs="Times New Roman"/>
          <w:color w:val="000000"/>
          <w:sz w:val="32"/>
          <w:szCs w:val="32"/>
        </w:rPr>
        <w:t>疫苗临床评价</w:t>
      </w:r>
      <w:r>
        <w:rPr>
          <w:rFonts w:ascii="Times New Roman" w:eastAsia="仿宋_GB2312" w:hAnsi="Times New Roman" w:cs="Times New Roman" w:hint="eastAsia"/>
          <w:color w:val="000000"/>
          <w:sz w:val="32"/>
          <w:szCs w:val="32"/>
        </w:rPr>
        <w:t>体系</w:t>
      </w:r>
      <w:r>
        <w:rPr>
          <w:rFonts w:ascii="Times New Roman" w:eastAsia="仿宋_GB2312" w:hAnsi="Times New Roman" w:cs="Times New Roman"/>
          <w:color w:val="000000"/>
          <w:sz w:val="32"/>
          <w:szCs w:val="32"/>
        </w:rPr>
        <w:t>中</w:t>
      </w:r>
      <w:r>
        <w:rPr>
          <w:rFonts w:ascii="Times New Roman" w:eastAsia="仿宋_GB2312" w:hAnsi="Times New Roman" w:cs="Times New Roman" w:hint="eastAsia"/>
          <w:color w:val="000000"/>
          <w:sz w:val="32"/>
          <w:szCs w:val="32"/>
        </w:rPr>
        <w:t>的重要</w:t>
      </w:r>
      <w:r>
        <w:rPr>
          <w:rFonts w:ascii="Times New Roman" w:eastAsia="仿宋_GB2312" w:hAnsi="Times New Roman" w:cs="Times New Roman"/>
          <w:color w:val="000000"/>
          <w:sz w:val="32"/>
          <w:szCs w:val="32"/>
        </w:rPr>
        <w:t>内</w:t>
      </w:r>
      <w:r>
        <w:rPr>
          <w:rFonts w:ascii="Times New Roman" w:eastAsia="仿宋_GB2312" w:hAnsi="Times New Roman" w:cs="Times New Roman" w:hint="eastAsia"/>
          <w:color w:val="000000"/>
          <w:sz w:val="32"/>
          <w:szCs w:val="32"/>
        </w:rPr>
        <w:t>容</w:t>
      </w:r>
      <w:r>
        <w:rPr>
          <w:rFonts w:ascii="Times New Roman" w:eastAsia="仿宋_GB2312" w:hAnsi="Times New Roman" w:cs="Times New Roman"/>
          <w:color w:val="000000"/>
          <w:sz w:val="32"/>
          <w:szCs w:val="32"/>
        </w:rPr>
        <w:t>之一，</w:t>
      </w:r>
      <w:r>
        <w:rPr>
          <w:rFonts w:ascii="Times New Roman" w:eastAsia="仿宋_GB2312" w:hAnsi="Times New Roman" w:cs="Times New Roman" w:hint="eastAsia"/>
          <w:color w:val="000000"/>
          <w:sz w:val="32"/>
          <w:szCs w:val="32"/>
        </w:rPr>
        <w:t>而</w:t>
      </w:r>
      <w:r>
        <w:rPr>
          <w:rFonts w:ascii="Times New Roman" w:eastAsia="仿宋_GB2312" w:hAnsi="Times New Roman" w:cs="Times New Roman"/>
          <w:color w:val="000000"/>
          <w:sz w:val="32"/>
          <w:szCs w:val="32"/>
        </w:rPr>
        <w:t>疫苗抗体</w:t>
      </w:r>
      <w:r>
        <w:rPr>
          <w:rFonts w:ascii="Times New Roman" w:eastAsia="仿宋_GB2312" w:hAnsi="Times New Roman" w:cs="Times New Roman" w:hint="eastAsia"/>
          <w:color w:val="000000"/>
          <w:sz w:val="32"/>
          <w:szCs w:val="32"/>
        </w:rPr>
        <w:t>又</w:t>
      </w:r>
      <w:r>
        <w:rPr>
          <w:rFonts w:ascii="Times New Roman" w:eastAsia="仿宋_GB2312" w:hAnsi="Times New Roman" w:cs="Times New Roman"/>
          <w:color w:val="000000"/>
          <w:sz w:val="32"/>
          <w:szCs w:val="32"/>
        </w:rPr>
        <w:t>是疫苗免疫原性评价的重要指标。</w:t>
      </w:r>
      <w:r w:rsidRPr="00FE47A3">
        <w:rPr>
          <w:rFonts w:ascii="Times New Roman" w:eastAsia="仿宋_GB2312" w:hAnsi="Times New Roman" w:cs="Times New Roman"/>
          <w:color w:val="000000"/>
          <w:sz w:val="32"/>
          <w:szCs w:val="32"/>
        </w:rPr>
        <w:t>为</w:t>
      </w:r>
      <w:r>
        <w:rPr>
          <w:rFonts w:ascii="Times New Roman" w:eastAsia="仿宋_GB2312" w:hAnsi="Times New Roman" w:cs="Times New Roman" w:hint="eastAsia"/>
          <w:color w:val="000000"/>
          <w:sz w:val="32"/>
          <w:szCs w:val="32"/>
        </w:rPr>
        <w:t>引</w:t>
      </w:r>
      <w:r w:rsidRPr="00FE47A3">
        <w:rPr>
          <w:rFonts w:ascii="Times New Roman" w:eastAsia="仿宋_GB2312" w:hAnsi="Times New Roman" w:cs="Times New Roman" w:hint="eastAsia"/>
          <w:color w:val="000000"/>
          <w:sz w:val="32"/>
          <w:szCs w:val="32"/>
        </w:rPr>
        <w:t>导企业</w:t>
      </w:r>
      <w:r w:rsidRPr="00FE47A3">
        <w:rPr>
          <w:rFonts w:ascii="Times New Roman" w:eastAsia="仿宋_GB2312" w:hAnsi="Times New Roman" w:cs="Times New Roman"/>
          <w:color w:val="000000"/>
          <w:sz w:val="32"/>
          <w:szCs w:val="32"/>
        </w:rPr>
        <w:t>在</w:t>
      </w:r>
      <w:r>
        <w:rPr>
          <w:rFonts w:ascii="Times New Roman" w:eastAsia="仿宋_GB2312" w:hAnsi="Times New Roman" w:cs="Times New Roman" w:hint="eastAsia"/>
          <w:color w:val="000000"/>
          <w:sz w:val="32"/>
          <w:szCs w:val="32"/>
        </w:rPr>
        <w:t>疫苗</w:t>
      </w:r>
      <w:r w:rsidRPr="00FE47A3">
        <w:rPr>
          <w:rFonts w:ascii="Times New Roman" w:eastAsia="仿宋_GB2312" w:hAnsi="Times New Roman" w:cs="Times New Roman"/>
          <w:color w:val="000000"/>
          <w:sz w:val="32"/>
          <w:szCs w:val="32"/>
        </w:rPr>
        <w:t>研发中</w:t>
      </w:r>
      <w:r w:rsidRPr="00FE47A3">
        <w:rPr>
          <w:rFonts w:ascii="Times New Roman" w:eastAsia="仿宋_GB2312" w:hAnsi="Times New Roman" w:cs="Times New Roman" w:hint="eastAsia"/>
          <w:color w:val="000000"/>
          <w:sz w:val="32"/>
          <w:szCs w:val="32"/>
        </w:rPr>
        <w:t>规范</w:t>
      </w:r>
      <w:r>
        <w:rPr>
          <w:rFonts w:ascii="Times New Roman" w:eastAsia="仿宋_GB2312" w:hAnsi="Times New Roman" w:cs="Times New Roman" w:hint="eastAsia"/>
          <w:color w:val="000000"/>
          <w:sz w:val="32"/>
          <w:szCs w:val="32"/>
        </w:rPr>
        <w:t>开展</w:t>
      </w:r>
      <w:r>
        <w:rPr>
          <w:rFonts w:ascii="Times New Roman" w:eastAsia="仿宋_GB2312" w:hAnsi="Times New Roman" w:cs="Times New Roman"/>
          <w:color w:val="000000"/>
          <w:sz w:val="32"/>
          <w:szCs w:val="32"/>
        </w:rPr>
        <w:t>疫苗抗体</w:t>
      </w:r>
      <w:r>
        <w:rPr>
          <w:rFonts w:ascii="Times New Roman" w:eastAsia="仿宋_GB2312" w:hAnsi="Times New Roman" w:cs="Times New Roman" w:hint="eastAsia"/>
          <w:color w:val="000000"/>
          <w:sz w:val="32"/>
          <w:szCs w:val="32"/>
        </w:rPr>
        <w:t>分析方法的</w:t>
      </w:r>
      <w:r w:rsidRPr="00FE47A3">
        <w:rPr>
          <w:rFonts w:ascii="Times New Roman" w:eastAsia="仿宋_GB2312" w:hAnsi="Times New Roman" w:cs="Times New Roman"/>
          <w:color w:val="000000"/>
          <w:sz w:val="32"/>
          <w:szCs w:val="32"/>
        </w:rPr>
        <w:t>研究，</w:t>
      </w:r>
      <w:r>
        <w:rPr>
          <w:rFonts w:ascii="Times New Roman" w:eastAsia="仿宋_GB2312" w:hAnsi="Times New Roman" w:cs="Times New Roman" w:hint="eastAsia"/>
          <w:color w:val="000000"/>
          <w:sz w:val="32"/>
          <w:szCs w:val="32"/>
        </w:rPr>
        <w:t>并</w:t>
      </w:r>
      <w:r w:rsidRPr="00FE47A3">
        <w:rPr>
          <w:rFonts w:ascii="Times New Roman" w:eastAsia="仿宋_GB2312" w:hAnsi="Times New Roman" w:cs="Times New Roman"/>
          <w:color w:val="000000"/>
          <w:sz w:val="32"/>
          <w:szCs w:val="32"/>
        </w:rPr>
        <w:t>提供可参考的技术规范，药品审评中心组织起草了《</w:t>
      </w:r>
      <w:r w:rsidRPr="009E2CA3">
        <w:rPr>
          <w:rFonts w:ascii="Times New Roman" w:eastAsia="仿宋_GB2312" w:hAnsi="Times New Roman" w:cs="Times New Roman" w:hint="eastAsia"/>
          <w:color w:val="000000"/>
          <w:sz w:val="32"/>
          <w:szCs w:val="32"/>
        </w:rPr>
        <w:t>疫苗临床试验抗体分析方法研究指导原则</w:t>
      </w:r>
      <w:r>
        <w:rPr>
          <w:rFonts w:ascii="Times New Roman" w:eastAsia="仿宋_GB2312" w:hAnsi="Times New Roman" w:cs="Times New Roman"/>
          <w:color w:val="000000"/>
          <w:sz w:val="32"/>
          <w:szCs w:val="32"/>
        </w:rPr>
        <w:t>》，经中心内部讨论以及专家会讨论</w:t>
      </w:r>
      <w:r w:rsidRPr="00FE47A3">
        <w:rPr>
          <w:rFonts w:ascii="Times New Roman" w:eastAsia="仿宋_GB2312" w:hAnsi="Times New Roman" w:cs="Times New Roman"/>
          <w:color w:val="000000"/>
          <w:sz w:val="32"/>
          <w:szCs w:val="32"/>
        </w:rPr>
        <w:t>，形成征求意见稿。现将有关情况说明如下：</w:t>
      </w:r>
    </w:p>
    <w:p w:rsidR="00DA7F76" w:rsidRDefault="00DA7F76" w:rsidP="00DA7F76">
      <w:pPr>
        <w:adjustRightInd w:val="0"/>
        <w:snapToGrid w:val="0"/>
        <w:spacing w:line="360" w:lineRule="auto"/>
        <w:ind w:firstLineChars="200" w:firstLine="640"/>
        <w:rPr>
          <w:rFonts w:ascii="黑体" w:eastAsia="黑体" w:hAnsi="黑体" w:cs="Times New Roman"/>
          <w:sz w:val="32"/>
          <w:szCs w:val="30"/>
        </w:rPr>
      </w:pPr>
      <w:r>
        <w:rPr>
          <w:rFonts w:ascii="黑体" w:eastAsia="黑体" w:hAnsi="黑体" w:cs="Times New Roman" w:hint="eastAsia"/>
          <w:sz w:val="32"/>
          <w:szCs w:val="30"/>
        </w:rPr>
        <w:t>一、起草背景和</w:t>
      </w:r>
      <w:r>
        <w:rPr>
          <w:rFonts w:ascii="黑体" w:eastAsia="黑体" w:hAnsi="黑体" w:cs="Times New Roman"/>
          <w:sz w:val="32"/>
          <w:szCs w:val="30"/>
        </w:rPr>
        <w:t>目的</w:t>
      </w:r>
    </w:p>
    <w:p w:rsidR="00DA7F76" w:rsidRDefault="00DA7F76" w:rsidP="00DA7F76">
      <w:pPr>
        <w:adjustRightInd w:val="0"/>
        <w:snapToGrid w:val="0"/>
        <w:spacing w:line="360" w:lineRule="auto"/>
        <w:ind w:firstLineChars="200" w:firstLine="640"/>
        <w:rPr>
          <w:rFonts w:ascii="仿宋_GB2312" w:eastAsia="仿宋_GB2312" w:hAnsi="宋体" w:cs="Times New Roman"/>
          <w:sz w:val="32"/>
          <w:szCs w:val="30"/>
        </w:rPr>
      </w:pPr>
      <w:r w:rsidRPr="00575BEF">
        <w:rPr>
          <w:rFonts w:ascii="仿宋_GB2312" w:eastAsia="仿宋_GB2312" w:hAnsi="宋体" w:cs="Times New Roman" w:hint="eastAsia"/>
          <w:sz w:val="32"/>
          <w:szCs w:val="30"/>
        </w:rPr>
        <w:t>创新型疫苗研发时，现有的抗体分析方法可能无法适用，需要结合疫苗的特点重新建立新的抗体分析方法</w:t>
      </w:r>
      <w:r>
        <w:rPr>
          <w:rFonts w:ascii="仿宋_GB2312" w:eastAsia="仿宋_GB2312" w:hAnsi="宋体" w:cs="Times New Roman" w:hint="eastAsia"/>
          <w:sz w:val="32"/>
          <w:szCs w:val="30"/>
        </w:rPr>
        <w:t>。为了指导和规范创新型疫苗的抗体分析方法研究，特制定本指导原则</w:t>
      </w:r>
      <w:r w:rsidRPr="00575BEF">
        <w:rPr>
          <w:rFonts w:ascii="仿宋_GB2312" w:eastAsia="仿宋_GB2312" w:hAnsi="宋体" w:cs="Times New Roman" w:hint="eastAsia"/>
          <w:sz w:val="32"/>
          <w:szCs w:val="30"/>
        </w:rPr>
        <w:t>。该指导原则中有关方法学验证部分的相关内容同样适用于目前已有的抗体分析方法。本指导原则仅针对疫苗临床试验中抗体分析方法的建立和验证提出一般要求，细胞免疫分析方法不在讨论范围内。</w:t>
      </w:r>
    </w:p>
    <w:p w:rsidR="00DA7F76" w:rsidRDefault="00DA7F76" w:rsidP="00DA7F76">
      <w:pPr>
        <w:adjustRightInd w:val="0"/>
        <w:snapToGrid w:val="0"/>
        <w:spacing w:line="360" w:lineRule="auto"/>
        <w:ind w:firstLineChars="200" w:firstLine="640"/>
        <w:rPr>
          <w:rFonts w:ascii="黑体" w:eastAsia="黑体" w:hAnsi="黑体" w:cs="Times New Roman"/>
          <w:sz w:val="32"/>
          <w:szCs w:val="30"/>
        </w:rPr>
      </w:pPr>
      <w:r>
        <w:rPr>
          <w:rFonts w:ascii="黑体" w:eastAsia="黑体" w:hAnsi="黑体" w:cs="Times New Roman" w:hint="eastAsia"/>
          <w:sz w:val="32"/>
          <w:szCs w:val="30"/>
        </w:rPr>
        <w:t>三、</w:t>
      </w:r>
      <w:r w:rsidRPr="00575BEF">
        <w:rPr>
          <w:rFonts w:ascii="黑体" w:eastAsia="黑体" w:hAnsi="黑体" w:cs="Times New Roman" w:hint="eastAsia"/>
          <w:sz w:val="32"/>
          <w:szCs w:val="30"/>
        </w:rPr>
        <w:t>起草过程</w:t>
      </w:r>
    </w:p>
    <w:p w:rsidR="00DA7F76" w:rsidRPr="00575BEF" w:rsidRDefault="00DA7F76" w:rsidP="00DA7F76">
      <w:pPr>
        <w:adjustRightInd w:val="0"/>
        <w:snapToGrid w:val="0"/>
        <w:spacing w:line="360" w:lineRule="auto"/>
        <w:ind w:firstLineChars="200" w:firstLine="640"/>
        <w:rPr>
          <w:rFonts w:ascii="仿宋_GB2312" w:eastAsia="仿宋_GB2312" w:hAnsi="宋体" w:cs="Times New Roman"/>
          <w:sz w:val="32"/>
          <w:szCs w:val="30"/>
        </w:rPr>
      </w:pPr>
      <w:r w:rsidRPr="00575BEF">
        <w:rPr>
          <w:rFonts w:ascii="仿宋_GB2312" w:eastAsia="仿宋_GB2312" w:hAnsi="宋体" w:cs="Times New Roman" w:hint="eastAsia"/>
          <w:sz w:val="32"/>
          <w:szCs w:val="30"/>
        </w:rPr>
        <w:t>本指导原则由</w:t>
      </w:r>
      <w:r>
        <w:rPr>
          <w:rFonts w:ascii="仿宋_GB2312" w:eastAsia="仿宋_GB2312" w:hAnsi="宋体" w:cs="Times New Roman" w:hint="eastAsia"/>
          <w:sz w:val="32"/>
          <w:szCs w:val="30"/>
        </w:rPr>
        <w:t>生物制品</w:t>
      </w:r>
      <w:r>
        <w:rPr>
          <w:rFonts w:ascii="仿宋_GB2312" w:eastAsia="仿宋_GB2312" w:hAnsi="宋体" w:cs="Times New Roman"/>
          <w:sz w:val="32"/>
          <w:szCs w:val="30"/>
        </w:rPr>
        <w:t>临床部</w:t>
      </w:r>
      <w:r w:rsidRPr="00575BEF">
        <w:rPr>
          <w:rFonts w:ascii="仿宋_GB2312" w:eastAsia="仿宋_GB2312" w:hAnsi="宋体" w:cs="Times New Roman" w:hint="eastAsia"/>
          <w:sz w:val="32"/>
          <w:szCs w:val="30"/>
        </w:rPr>
        <w:t>部牵头，自</w:t>
      </w:r>
      <w:r>
        <w:rPr>
          <w:rFonts w:ascii="仿宋_GB2312" w:eastAsia="仿宋_GB2312" w:hAnsi="宋体" w:cs="Times New Roman"/>
          <w:sz w:val="32"/>
          <w:szCs w:val="30"/>
        </w:rPr>
        <w:t>2019</w:t>
      </w:r>
      <w:r w:rsidRPr="00575BEF">
        <w:rPr>
          <w:rFonts w:ascii="仿宋_GB2312" w:eastAsia="仿宋_GB2312" w:hAnsi="宋体" w:cs="Times New Roman"/>
          <w:sz w:val="32"/>
          <w:szCs w:val="30"/>
        </w:rPr>
        <w:t>年</w:t>
      </w:r>
      <w:r>
        <w:rPr>
          <w:rFonts w:ascii="仿宋_GB2312" w:eastAsia="仿宋_GB2312" w:hAnsi="宋体" w:cs="Times New Roman"/>
          <w:sz w:val="32"/>
          <w:szCs w:val="30"/>
        </w:rPr>
        <w:t>3</w:t>
      </w:r>
      <w:r w:rsidRPr="00575BEF">
        <w:rPr>
          <w:rFonts w:ascii="仿宋_GB2312" w:eastAsia="仿宋_GB2312" w:hAnsi="宋体" w:cs="Times New Roman"/>
          <w:sz w:val="32"/>
          <w:szCs w:val="30"/>
        </w:rPr>
        <w:t>月启动，核心工作组经调研起草后，于</w:t>
      </w:r>
      <w:r>
        <w:rPr>
          <w:rFonts w:ascii="仿宋_GB2312" w:eastAsia="仿宋_GB2312" w:hAnsi="宋体" w:cs="Times New Roman"/>
          <w:sz w:val="32"/>
          <w:szCs w:val="30"/>
        </w:rPr>
        <w:t>2020</w:t>
      </w:r>
      <w:r w:rsidRPr="00575BEF">
        <w:rPr>
          <w:rFonts w:ascii="仿宋_GB2312" w:eastAsia="仿宋_GB2312" w:hAnsi="宋体" w:cs="Times New Roman"/>
          <w:sz w:val="32"/>
          <w:szCs w:val="30"/>
        </w:rPr>
        <w:t>年</w:t>
      </w:r>
      <w:r>
        <w:rPr>
          <w:rFonts w:ascii="仿宋_GB2312" w:eastAsia="仿宋_GB2312" w:hAnsi="宋体" w:cs="Times New Roman" w:hint="eastAsia"/>
          <w:sz w:val="32"/>
          <w:szCs w:val="30"/>
        </w:rPr>
        <w:t>10月</w:t>
      </w:r>
      <w:r w:rsidRPr="00575BEF">
        <w:rPr>
          <w:rFonts w:ascii="仿宋_GB2312" w:eastAsia="仿宋_GB2312" w:hAnsi="宋体" w:cs="Times New Roman"/>
          <w:sz w:val="32"/>
          <w:szCs w:val="30"/>
        </w:rPr>
        <w:t>形成初稿，</w:t>
      </w:r>
      <w:r>
        <w:rPr>
          <w:rFonts w:ascii="仿宋_GB2312" w:eastAsia="仿宋_GB2312" w:hAnsi="宋体" w:cs="Times New Roman" w:hint="eastAsia"/>
          <w:sz w:val="32"/>
          <w:szCs w:val="30"/>
        </w:rPr>
        <w:t>小范围征求</w:t>
      </w:r>
      <w:r>
        <w:rPr>
          <w:rFonts w:ascii="仿宋_GB2312" w:eastAsia="仿宋_GB2312" w:hAnsi="宋体" w:cs="Times New Roman"/>
          <w:sz w:val="32"/>
          <w:szCs w:val="30"/>
        </w:rPr>
        <w:t>部分专家意见后</w:t>
      </w:r>
      <w:r>
        <w:rPr>
          <w:rFonts w:ascii="仿宋_GB2312" w:eastAsia="仿宋_GB2312" w:hAnsi="宋体" w:cs="Times New Roman" w:hint="eastAsia"/>
          <w:sz w:val="32"/>
          <w:szCs w:val="30"/>
        </w:rPr>
        <w:t>，</w:t>
      </w:r>
      <w:r w:rsidRPr="00575BEF">
        <w:rPr>
          <w:rFonts w:ascii="仿宋_GB2312" w:eastAsia="仿宋_GB2312" w:hAnsi="宋体" w:cs="Times New Roman"/>
          <w:sz w:val="32"/>
          <w:szCs w:val="30"/>
        </w:rPr>
        <w:t>经药审中心内部讨论，技术委员会审核</w:t>
      </w:r>
      <w:r>
        <w:rPr>
          <w:rFonts w:ascii="仿宋_GB2312" w:eastAsia="仿宋_GB2312" w:hAnsi="宋体" w:cs="Times New Roman" w:hint="eastAsia"/>
          <w:sz w:val="32"/>
          <w:szCs w:val="30"/>
        </w:rPr>
        <w:t>，</w:t>
      </w:r>
      <w:r w:rsidRPr="00575BEF">
        <w:rPr>
          <w:rFonts w:ascii="仿宋_GB2312" w:eastAsia="仿宋_GB2312" w:hAnsi="宋体" w:cs="Times New Roman"/>
          <w:sz w:val="32"/>
          <w:szCs w:val="30"/>
        </w:rPr>
        <w:t>召开了专家研讨会</w:t>
      </w:r>
      <w:r>
        <w:rPr>
          <w:rFonts w:ascii="仿宋_GB2312" w:eastAsia="仿宋_GB2312" w:hAnsi="宋体" w:cs="Times New Roman" w:hint="eastAsia"/>
          <w:sz w:val="32"/>
          <w:szCs w:val="30"/>
        </w:rPr>
        <w:t>，综合</w:t>
      </w:r>
      <w:r>
        <w:rPr>
          <w:rFonts w:ascii="仿宋_GB2312" w:eastAsia="仿宋_GB2312" w:hAnsi="宋体" w:cs="Times New Roman"/>
          <w:sz w:val="32"/>
          <w:szCs w:val="30"/>
        </w:rPr>
        <w:t>专家意见</w:t>
      </w:r>
      <w:r w:rsidRPr="00575BEF">
        <w:rPr>
          <w:rFonts w:ascii="仿宋_GB2312" w:eastAsia="仿宋_GB2312" w:hAnsi="宋体" w:cs="Times New Roman"/>
          <w:sz w:val="32"/>
          <w:szCs w:val="30"/>
        </w:rPr>
        <w:t>形成征求意见</w:t>
      </w:r>
      <w:r w:rsidRPr="00575BEF">
        <w:rPr>
          <w:rFonts w:ascii="仿宋_GB2312" w:eastAsia="仿宋_GB2312" w:hAnsi="宋体" w:cs="Times New Roman"/>
          <w:sz w:val="32"/>
          <w:szCs w:val="30"/>
        </w:rPr>
        <w:lastRenderedPageBreak/>
        <w:t>稿。</w:t>
      </w:r>
    </w:p>
    <w:p w:rsidR="00DA7F76" w:rsidRDefault="00DA7F76" w:rsidP="00DA7F76">
      <w:pPr>
        <w:adjustRightInd w:val="0"/>
        <w:snapToGrid w:val="0"/>
        <w:spacing w:line="360" w:lineRule="auto"/>
        <w:ind w:firstLineChars="200" w:firstLine="640"/>
        <w:rPr>
          <w:rFonts w:ascii="黑体" w:eastAsia="黑体" w:hAnsi="黑体" w:cs="Times New Roman"/>
          <w:sz w:val="32"/>
          <w:szCs w:val="30"/>
        </w:rPr>
      </w:pPr>
      <w:r>
        <w:rPr>
          <w:rFonts w:ascii="黑体" w:eastAsia="黑体" w:hAnsi="黑体" w:cs="Times New Roman" w:hint="eastAsia"/>
          <w:sz w:val="32"/>
          <w:szCs w:val="30"/>
        </w:rPr>
        <w:t>四、</w:t>
      </w:r>
      <w:r w:rsidRPr="00575BEF">
        <w:rPr>
          <w:rFonts w:ascii="黑体" w:eastAsia="黑体" w:hAnsi="黑体" w:cs="Times New Roman" w:hint="eastAsia"/>
          <w:sz w:val="32"/>
          <w:szCs w:val="30"/>
        </w:rPr>
        <w:t>主要内容与说明</w:t>
      </w:r>
    </w:p>
    <w:p w:rsidR="00DA7F76" w:rsidRDefault="00DA7F76" w:rsidP="00DA7F76">
      <w:pPr>
        <w:adjustRightInd w:val="0"/>
        <w:snapToGrid w:val="0"/>
        <w:spacing w:line="360" w:lineRule="auto"/>
        <w:ind w:firstLineChars="200" w:firstLine="640"/>
        <w:rPr>
          <w:rFonts w:ascii="仿宋_GB2312" w:eastAsia="仿宋_GB2312" w:hAnsi="宋体" w:cs="Times New Roman"/>
          <w:sz w:val="32"/>
          <w:szCs w:val="30"/>
        </w:rPr>
      </w:pPr>
      <w:r w:rsidRPr="00575BEF">
        <w:rPr>
          <w:rFonts w:ascii="仿宋_GB2312" w:eastAsia="仿宋_GB2312" w:hAnsi="宋体" w:cs="Times New Roman" w:hint="eastAsia"/>
          <w:sz w:val="32"/>
          <w:szCs w:val="30"/>
        </w:rPr>
        <w:t>本指导原则旨</w:t>
      </w:r>
      <w:r>
        <w:rPr>
          <w:rFonts w:ascii="仿宋_GB2312" w:eastAsia="仿宋_GB2312" w:hAnsi="宋体" w:cs="Times New Roman" w:hint="eastAsia"/>
          <w:sz w:val="32"/>
          <w:szCs w:val="30"/>
        </w:rPr>
        <w:t>在为</w:t>
      </w:r>
      <w:r w:rsidRPr="00575BEF">
        <w:rPr>
          <w:rFonts w:ascii="仿宋_GB2312" w:eastAsia="仿宋_GB2312" w:hAnsi="宋体" w:cs="Times New Roman" w:hint="eastAsia"/>
          <w:sz w:val="32"/>
          <w:szCs w:val="30"/>
        </w:rPr>
        <w:t>创新型疫苗的</w:t>
      </w:r>
      <w:r>
        <w:rPr>
          <w:rFonts w:ascii="仿宋_GB2312" w:eastAsia="仿宋_GB2312" w:hAnsi="宋体" w:cs="Times New Roman" w:hint="eastAsia"/>
          <w:sz w:val="32"/>
          <w:szCs w:val="30"/>
        </w:rPr>
        <w:t>新建</w:t>
      </w:r>
      <w:r w:rsidRPr="00575BEF">
        <w:rPr>
          <w:rFonts w:ascii="仿宋_GB2312" w:eastAsia="仿宋_GB2312" w:hAnsi="宋体" w:cs="Times New Roman" w:hint="eastAsia"/>
          <w:sz w:val="32"/>
          <w:szCs w:val="30"/>
        </w:rPr>
        <w:t>抗体分析方法研究</w:t>
      </w:r>
      <w:r>
        <w:rPr>
          <w:rFonts w:ascii="仿宋_GB2312" w:eastAsia="仿宋_GB2312" w:hAnsi="宋体" w:cs="Times New Roman" w:hint="eastAsia"/>
          <w:sz w:val="32"/>
          <w:szCs w:val="30"/>
        </w:rPr>
        <w:t>提供</w:t>
      </w:r>
      <w:r>
        <w:rPr>
          <w:rFonts w:ascii="仿宋_GB2312" w:eastAsia="仿宋_GB2312" w:hAnsi="宋体" w:cs="Times New Roman"/>
          <w:sz w:val="32"/>
          <w:szCs w:val="30"/>
        </w:rPr>
        <w:t>指导和建议</w:t>
      </w:r>
      <w:r w:rsidRPr="00575BEF">
        <w:rPr>
          <w:rFonts w:ascii="仿宋_GB2312" w:eastAsia="仿宋_GB2312" w:hAnsi="宋体" w:cs="Times New Roman" w:hint="eastAsia"/>
          <w:sz w:val="32"/>
          <w:szCs w:val="30"/>
        </w:rPr>
        <w:t>。</w:t>
      </w:r>
      <w:r>
        <w:rPr>
          <w:rFonts w:ascii="仿宋_GB2312" w:eastAsia="仿宋_GB2312" w:hAnsi="宋体" w:cs="Times New Roman" w:hint="eastAsia"/>
          <w:sz w:val="32"/>
          <w:szCs w:val="30"/>
        </w:rPr>
        <w:t>仅针对疫苗临床试验中抗体分析方法的建立和验证提出一般要求</w:t>
      </w:r>
      <w:r w:rsidRPr="00575BEF">
        <w:rPr>
          <w:rFonts w:ascii="仿宋_GB2312" w:eastAsia="仿宋_GB2312" w:hAnsi="宋体" w:cs="Times New Roman" w:hint="eastAsia"/>
          <w:sz w:val="32"/>
          <w:szCs w:val="30"/>
        </w:rPr>
        <w:t>。研发单位可参照本原则的精神和一般要求，采取具体问题具体分析的方法，确定适宜的研究方案。</w:t>
      </w:r>
      <w:r>
        <w:rPr>
          <w:rFonts w:ascii="仿宋_GB2312" w:eastAsia="仿宋_GB2312" w:hAnsi="宋体" w:cs="Times New Roman" w:hint="eastAsia"/>
          <w:sz w:val="32"/>
          <w:szCs w:val="30"/>
        </w:rPr>
        <w:t>本指导原则正文</w:t>
      </w:r>
      <w:r>
        <w:rPr>
          <w:rFonts w:ascii="仿宋_GB2312" w:eastAsia="仿宋_GB2312" w:hAnsi="宋体" w:cs="Times New Roman"/>
          <w:sz w:val="32"/>
          <w:szCs w:val="30"/>
        </w:rPr>
        <w:t>主要内容包括：</w:t>
      </w:r>
      <w:r>
        <w:rPr>
          <w:rFonts w:ascii="仿宋_GB2312" w:eastAsia="仿宋_GB2312" w:hAnsi="宋体" w:cs="Times New Roman" w:hint="eastAsia"/>
          <w:sz w:val="32"/>
          <w:szCs w:val="30"/>
        </w:rPr>
        <w:t>前言</w:t>
      </w:r>
      <w:r>
        <w:rPr>
          <w:rFonts w:ascii="仿宋_GB2312" w:eastAsia="仿宋_GB2312" w:hAnsi="宋体" w:cs="Times New Roman"/>
          <w:sz w:val="32"/>
          <w:szCs w:val="30"/>
        </w:rPr>
        <w:t>、一般原则、分析方法</w:t>
      </w:r>
      <w:r>
        <w:rPr>
          <w:rFonts w:ascii="仿宋_GB2312" w:eastAsia="仿宋_GB2312" w:hAnsi="宋体" w:cs="Times New Roman" w:hint="eastAsia"/>
          <w:sz w:val="32"/>
          <w:szCs w:val="30"/>
        </w:rPr>
        <w:t>建立</w:t>
      </w:r>
      <w:r>
        <w:rPr>
          <w:rFonts w:ascii="仿宋_GB2312" w:eastAsia="仿宋_GB2312" w:hAnsi="宋体" w:cs="Times New Roman"/>
          <w:sz w:val="32"/>
          <w:szCs w:val="30"/>
        </w:rPr>
        <w:t>、分析方法的验证、</w:t>
      </w:r>
      <w:r>
        <w:rPr>
          <w:rFonts w:ascii="仿宋_GB2312" w:eastAsia="仿宋_GB2312" w:hAnsi="宋体" w:cs="Times New Roman" w:hint="eastAsia"/>
          <w:sz w:val="32"/>
          <w:szCs w:val="30"/>
        </w:rPr>
        <w:t>制定</w:t>
      </w:r>
      <w:r>
        <w:rPr>
          <w:rFonts w:ascii="仿宋_GB2312" w:eastAsia="仿宋_GB2312" w:hAnsi="宋体" w:cs="Times New Roman"/>
          <w:sz w:val="32"/>
          <w:szCs w:val="30"/>
        </w:rPr>
        <w:t>方法的</w:t>
      </w:r>
      <w:r>
        <w:rPr>
          <w:rFonts w:ascii="仿宋_GB2312" w:eastAsia="仿宋_GB2312" w:hAnsi="宋体" w:cs="Times New Roman" w:hint="eastAsia"/>
          <w:sz w:val="32"/>
          <w:szCs w:val="30"/>
        </w:rPr>
        <w:t>SOP以及</w:t>
      </w:r>
      <w:r>
        <w:rPr>
          <w:rFonts w:ascii="仿宋_GB2312" w:eastAsia="仿宋_GB2312" w:hAnsi="宋体" w:cs="Times New Roman"/>
          <w:sz w:val="32"/>
          <w:szCs w:val="30"/>
        </w:rPr>
        <w:t>方法的实施等</w:t>
      </w:r>
      <w:r>
        <w:rPr>
          <w:rFonts w:ascii="仿宋_GB2312" w:eastAsia="仿宋_GB2312" w:hAnsi="宋体" w:cs="Times New Roman" w:hint="eastAsia"/>
          <w:sz w:val="32"/>
          <w:szCs w:val="30"/>
        </w:rPr>
        <w:t>。</w:t>
      </w:r>
    </w:p>
    <w:p w:rsidR="00DA7F76" w:rsidRPr="00FE47A3" w:rsidRDefault="00DA7F76" w:rsidP="00DA7F76">
      <w:pPr>
        <w:adjustRightInd w:val="0"/>
        <w:snapToGrid w:val="0"/>
        <w:spacing w:line="360" w:lineRule="auto"/>
        <w:ind w:firstLineChars="200" w:firstLine="640"/>
        <w:rPr>
          <w:rFonts w:ascii="Times New Roman" w:eastAsia="仿宋_GB2312" w:hAnsi="Times New Roman" w:cs="Times New Roman"/>
          <w:color w:val="000000"/>
          <w:kern w:val="0"/>
          <w:sz w:val="32"/>
          <w:szCs w:val="32"/>
        </w:rPr>
      </w:pPr>
      <w:r w:rsidRPr="005D5E20">
        <w:rPr>
          <w:rFonts w:ascii="仿宋_GB2312" w:eastAsia="仿宋_GB2312" w:hAnsi="宋体" w:cs="Times New Roman" w:hint="eastAsia"/>
          <w:sz w:val="32"/>
          <w:szCs w:val="30"/>
        </w:rPr>
        <w:t>本指导原则仅代表当前的观点和认识，</w:t>
      </w:r>
      <w:r>
        <w:rPr>
          <w:rFonts w:ascii="仿宋_GB2312" w:eastAsia="仿宋_GB2312" w:hAnsi="宋体" w:cs="Times New Roman" w:hint="eastAsia"/>
          <w:sz w:val="32"/>
          <w:szCs w:val="30"/>
        </w:rPr>
        <w:t>仅为</w:t>
      </w:r>
      <w:r>
        <w:rPr>
          <w:rFonts w:ascii="仿宋_GB2312" w:eastAsia="仿宋_GB2312" w:hAnsi="宋体" w:cs="Times New Roman"/>
          <w:sz w:val="32"/>
          <w:szCs w:val="30"/>
        </w:rPr>
        <w:t>业界提供参考，</w:t>
      </w:r>
      <w:r w:rsidRPr="005D5E20">
        <w:rPr>
          <w:rFonts w:ascii="仿宋_GB2312" w:eastAsia="仿宋_GB2312" w:hAnsi="宋体" w:cs="Times New Roman" w:hint="eastAsia"/>
          <w:sz w:val="32"/>
          <w:szCs w:val="30"/>
        </w:rPr>
        <w:t>不具有强制性的法律约束力。随着行业的发展和监</w:t>
      </w:r>
      <w:r>
        <w:rPr>
          <w:rFonts w:ascii="仿宋_GB2312" w:eastAsia="仿宋_GB2312" w:hAnsi="宋体" w:cs="Times New Roman" w:hint="eastAsia"/>
          <w:sz w:val="32"/>
          <w:szCs w:val="30"/>
        </w:rPr>
        <w:t>管经验的积累，相关要求将不断修订和完善</w:t>
      </w:r>
      <w:r w:rsidRPr="005D5E20">
        <w:rPr>
          <w:rFonts w:ascii="仿宋_GB2312" w:eastAsia="仿宋_GB2312" w:hAnsi="宋体" w:cs="Times New Roman" w:hint="eastAsia"/>
          <w:sz w:val="32"/>
          <w:szCs w:val="30"/>
        </w:rPr>
        <w:t>。</w:t>
      </w:r>
    </w:p>
    <w:p w:rsidR="004573A0" w:rsidRPr="00DA7F76" w:rsidRDefault="004573A0" w:rsidP="00DA7F76">
      <w:pPr>
        <w:widowControl/>
        <w:jc w:val="left"/>
        <w:rPr>
          <w:rFonts w:ascii="仿宋_GB2312" w:eastAsia="仿宋_GB2312" w:hAnsi="宋体" w:cs="Times New Roman"/>
          <w:sz w:val="32"/>
          <w:szCs w:val="30"/>
        </w:rPr>
      </w:pPr>
    </w:p>
    <w:sectPr w:rsidR="004573A0" w:rsidRPr="00DA7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96" w:rsidRDefault="000A4496" w:rsidP="00DA7F76">
      <w:r>
        <w:separator/>
      </w:r>
    </w:p>
  </w:endnote>
  <w:endnote w:type="continuationSeparator" w:id="0">
    <w:p w:rsidR="000A4496" w:rsidRDefault="000A4496" w:rsidP="00DA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96" w:rsidRDefault="000A4496" w:rsidP="00DA7F76">
      <w:r>
        <w:separator/>
      </w:r>
    </w:p>
  </w:footnote>
  <w:footnote w:type="continuationSeparator" w:id="0">
    <w:p w:rsidR="000A4496" w:rsidRDefault="000A4496" w:rsidP="00DA7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BB"/>
    <w:rsid w:val="000A4496"/>
    <w:rsid w:val="001D496B"/>
    <w:rsid w:val="003446BB"/>
    <w:rsid w:val="004573A0"/>
    <w:rsid w:val="006122F5"/>
    <w:rsid w:val="00634651"/>
    <w:rsid w:val="006A1ADB"/>
    <w:rsid w:val="008041F3"/>
    <w:rsid w:val="008F6C55"/>
    <w:rsid w:val="00A36DE3"/>
    <w:rsid w:val="00A92B45"/>
    <w:rsid w:val="00C72022"/>
    <w:rsid w:val="00DA7F76"/>
    <w:rsid w:val="00E41B41"/>
    <w:rsid w:val="00F3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B317"/>
  <w15:chartTrackingRefBased/>
  <w15:docId w15:val="{1671A0F3-4ED1-426E-9A48-9FA8FBEE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F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7F76"/>
    <w:rPr>
      <w:sz w:val="18"/>
      <w:szCs w:val="18"/>
    </w:rPr>
  </w:style>
  <w:style w:type="paragraph" w:styleId="a5">
    <w:name w:val="footer"/>
    <w:basedOn w:val="a"/>
    <w:link w:val="a6"/>
    <w:uiPriority w:val="99"/>
    <w:unhideWhenUsed/>
    <w:rsid w:val="00DA7F76"/>
    <w:pPr>
      <w:tabs>
        <w:tab w:val="center" w:pos="4153"/>
        <w:tab w:val="right" w:pos="8306"/>
      </w:tabs>
      <w:snapToGrid w:val="0"/>
      <w:jc w:val="left"/>
    </w:pPr>
    <w:rPr>
      <w:sz w:val="18"/>
      <w:szCs w:val="18"/>
    </w:rPr>
  </w:style>
  <w:style w:type="character" w:customStyle="1" w:styleId="a6">
    <w:name w:val="页脚 字符"/>
    <w:basedOn w:val="a0"/>
    <w:link w:val="a5"/>
    <w:uiPriority w:val="99"/>
    <w:rsid w:val="00DA7F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刘琳玉</dc:creator>
  <cp:keywords/>
  <dc:description/>
  <cp:lastModifiedBy>信息运维人员03</cp:lastModifiedBy>
  <cp:revision>4</cp:revision>
  <dcterms:created xsi:type="dcterms:W3CDTF">2020-11-24T01:37:00Z</dcterms:created>
  <dcterms:modified xsi:type="dcterms:W3CDTF">2020-11-24T05:39:00Z</dcterms:modified>
</cp:coreProperties>
</file>